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8"/>
        <w:gridCol w:w="48"/>
        <w:gridCol w:w="8489"/>
      </w:tblGrid>
      <w:tr w:rsidR="003427AF" w:rsidRPr="0025131F" w:rsidTr="00083C85">
        <w:tc>
          <w:tcPr>
            <w:tcW w:w="7338" w:type="dxa"/>
          </w:tcPr>
          <w:p w:rsidR="003427AF" w:rsidRDefault="00427F9A"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-4445</wp:posOffset>
                  </wp:positionV>
                  <wp:extent cx="4629150" cy="6515100"/>
                  <wp:effectExtent l="19050" t="0" r="0" b="0"/>
                  <wp:wrapTight wrapText="bothSides">
                    <wp:wrapPolygon edited="0">
                      <wp:start x="-89" y="0"/>
                      <wp:lineTo x="-89" y="21537"/>
                      <wp:lineTo x="21600" y="21537"/>
                      <wp:lineTo x="21600" y="0"/>
                      <wp:lineTo x="-89" y="0"/>
                    </wp:wrapPolygon>
                  </wp:wrapTight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651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37" w:type="dxa"/>
            <w:gridSpan w:val="2"/>
          </w:tcPr>
          <w:p w:rsidR="003427AF" w:rsidRPr="00FA0671" w:rsidRDefault="00F8298B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FA0671">
              <w:rPr>
                <w:rFonts w:ascii="Arial" w:hAnsi="Arial" w:cs="Arial"/>
                <w:b/>
                <w:sz w:val="32"/>
                <w:szCs w:val="32"/>
              </w:rPr>
              <w:t>Capitolul</w:t>
            </w:r>
            <w:proofErr w:type="spellEnd"/>
            <w:r w:rsidRPr="00FA0671">
              <w:rPr>
                <w:rFonts w:ascii="Arial" w:hAnsi="Arial" w:cs="Arial"/>
                <w:b/>
                <w:sz w:val="32"/>
                <w:szCs w:val="32"/>
              </w:rPr>
              <w:t xml:space="preserve"> 2</w:t>
            </w:r>
          </w:p>
          <w:p w:rsidR="00F8298B" w:rsidRPr="00FA0671" w:rsidRDefault="00F8298B">
            <w:pPr>
              <w:rPr>
                <w:sz w:val="28"/>
                <w:szCs w:val="28"/>
              </w:rPr>
            </w:pPr>
          </w:p>
          <w:p w:rsidR="00F8298B" w:rsidRPr="00FA0671" w:rsidRDefault="00CC5EE2">
            <w:pPr>
              <w:rPr>
                <w:b/>
                <w:i/>
                <w:sz w:val="72"/>
                <w:szCs w:val="72"/>
              </w:rPr>
            </w:pPr>
            <w:proofErr w:type="spellStart"/>
            <w:r w:rsidRPr="00FA0671">
              <w:rPr>
                <w:b/>
                <w:i/>
                <w:sz w:val="72"/>
                <w:szCs w:val="72"/>
              </w:rPr>
              <w:t>Î</w:t>
            </w:r>
            <w:r w:rsidR="00F8298B" w:rsidRPr="00FA0671">
              <w:rPr>
                <w:b/>
                <w:i/>
                <w:sz w:val="72"/>
                <w:szCs w:val="72"/>
              </w:rPr>
              <w:t>nțelegerea</w:t>
            </w:r>
            <w:proofErr w:type="spellEnd"/>
            <w:r w:rsidR="00F8298B" w:rsidRPr="00FA0671">
              <w:rPr>
                <w:b/>
                <w:i/>
                <w:sz w:val="72"/>
                <w:szCs w:val="72"/>
              </w:rPr>
              <w:t xml:space="preserve"> </w:t>
            </w:r>
            <w:proofErr w:type="spellStart"/>
            <w:r w:rsidR="00F8298B" w:rsidRPr="00FA0671">
              <w:rPr>
                <w:b/>
                <w:i/>
                <w:sz w:val="72"/>
                <w:szCs w:val="72"/>
              </w:rPr>
              <w:t>greșită</w:t>
            </w:r>
            <w:proofErr w:type="spellEnd"/>
            <w:r w:rsidR="00F8298B" w:rsidRPr="00FA0671">
              <w:rPr>
                <w:b/>
                <w:i/>
                <w:sz w:val="72"/>
                <w:szCs w:val="72"/>
              </w:rPr>
              <w:t xml:space="preserve"> a </w:t>
            </w:r>
            <w:proofErr w:type="spellStart"/>
            <w:r w:rsidR="00F8298B" w:rsidRPr="00FA0671">
              <w:rPr>
                <w:b/>
                <w:i/>
                <w:sz w:val="72"/>
                <w:szCs w:val="72"/>
              </w:rPr>
              <w:t>Scripturii</w:t>
            </w:r>
            <w:proofErr w:type="spellEnd"/>
          </w:p>
          <w:p w:rsidR="00F8298B" w:rsidRDefault="00F8298B">
            <w:pPr>
              <w:rPr>
                <w:sz w:val="28"/>
                <w:szCs w:val="28"/>
                <w:lang w:val="ro-RO"/>
              </w:rPr>
            </w:pPr>
          </w:p>
          <w:p w:rsidR="00F8298B" w:rsidRDefault="00F8298B">
            <w:pPr>
              <w:rPr>
                <w:sz w:val="28"/>
                <w:szCs w:val="28"/>
                <w:lang w:val="ro-RO"/>
              </w:rPr>
            </w:pPr>
          </w:p>
          <w:p w:rsidR="00F8298B" w:rsidRDefault="00F8298B">
            <w:pPr>
              <w:rPr>
                <w:sz w:val="28"/>
                <w:szCs w:val="28"/>
                <w:lang w:val="ro-RO"/>
              </w:rPr>
            </w:pPr>
            <w:r w:rsidRPr="00F8298B">
              <w:rPr>
                <w:i/>
                <w:sz w:val="28"/>
                <w:szCs w:val="28"/>
                <w:lang w:val="ro-RO"/>
              </w:rPr>
              <w:t>Scopul:</w:t>
            </w:r>
            <w:r w:rsidR="00A20D0D">
              <w:rPr>
                <w:sz w:val="28"/>
                <w:szCs w:val="28"/>
                <w:lang w:val="ro-RO"/>
              </w:rPr>
              <w:t xml:space="preserve"> Acest capitol se ocupă</w:t>
            </w:r>
            <w:r>
              <w:rPr>
                <w:sz w:val="28"/>
                <w:szCs w:val="28"/>
                <w:lang w:val="ro-RO"/>
              </w:rPr>
              <w:t xml:space="preserve"> cu hermeneutica biblică și </w:t>
            </w:r>
            <w:r w:rsidR="00CC5EE2">
              <w:rPr>
                <w:sz w:val="28"/>
                <w:szCs w:val="28"/>
                <w:lang w:val="ro-RO"/>
              </w:rPr>
              <w:t xml:space="preserve">are scopul de </w:t>
            </w:r>
            <w:r>
              <w:rPr>
                <w:sz w:val="28"/>
                <w:szCs w:val="28"/>
                <w:lang w:val="ro-RO"/>
              </w:rPr>
              <w:t xml:space="preserve"> a vă familiariza cu principalele cauze pentru interpretarea greșită a Scripturii</w:t>
            </w:r>
            <w:r w:rsidR="00CC5EE2">
              <w:rPr>
                <w:sz w:val="28"/>
                <w:szCs w:val="28"/>
                <w:lang w:val="ro-RO"/>
              </w:rPr>
              <w:t xml:space="preserve"> și cu hermeneutica biblică aplicată</w:t>
            </w:r>
            <w:r>
              <w:rPr>
                <w:sz w:val="28"/>
                <w:szCs w:val="28"/>
                <w:lang w:val="ro-RO"/>
              </w:rPr>
              <w:t>.</w:t>
            </w:r>
          </w:p>
          <w:p w:rsidR="00F8298B" w:rsidRDefault="00F8298B">
            <w:pPr>
              <w:rPr>
                <w:sz w:val="28"/>
                <w:szCs w:val="28"/>
                <w:lang w:val="ro-RO"/>
              </w:rPr>
            </w:pPr>
          </w:p>
          <w:p w:rsidR="00F8298B" w:rsidRDefault="00F8298B">
            <w:pPr>
              <w:rPr>
                <w:sz w:val="28"/>
                <w:szCs w:val="28"/>
                <w:lang w:val="ro-RO"/>
              </w:rPr>
            </w:pPr>
            <w:r w:rsidRPr="00F8298B">
              <w:rPr>
                <w:i/>
                <w:sz w:val="28"/>
                <w:szCs w:val="28"/>
                <w:lang w:val="ro-RO"/>
              </w:rPr>
              <w:t>Ținta:</w:t>
            </w:r>
            <w:r>
              <w:rPr>
                <w:sz w:val="28"/>
                <w:szCs w:val="28"/>
                <w:lang w:val="ro-RO"/>
              </w:rPr>
              <w:t xml:space="preserve"> După parcurgerea acestui capitol ar trebui să știți să:</w:t>
            </w:r>
          </w:p>
          <w:p w:rsidR="00F8298B" w:rsidRDefault="00F8298B">
            <w:pPr>
              <w:rPr>
                <w:sz w:val="28"/>
                <w:szCs w:val="28"/>
                <w:lang w:val="ro-RO"/>
              </w:rPr>
            </w:pPr>
          </w:p>
          <w:p w:rsidR="00F8298B" w:rsidRDefault="00F8298B" w:rsidP="00F344DA">
            <w:pPr>
              <w:pStyle w:val="Listenabsatz"/>
              <w:numPr>
                <w:ilvl w:val="0"/>
                <w:numId w:val="6"/>
              </w:numPr>
              <w:ind w:left="356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Enumerați cele 8 principale</w:t>
            </w:r>
            <w:r w:rsidR="0025131F">
              <w:rPr>
                <w:sz w:val="28"/>
                <w:szCs w:val="28"/>
                <w:lang w:val="ro-RO"/>
              </w:rPr>
              <w:t>le cauze care duc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="0025131F">
              <w:rPr>
                <w:sz w:val="28"/>
                <w:szCs w:val="28"/>
                <w:lang w:val="ro-RO"/>
              </w:rPr>
              <w:t>la</w:t>
            </w:r>
            <w:r>
              <w:rPr>
                <w:sz w:val="28"/>
                <w:szCs w:val="28"/>
                <w:lang w:val="ro-RO"/>
              </w:rPr>
              <w:t xml:space="preserve"> interpretarea greșită a Scripturii.</w:t>
            </w:r>
          </w:p>
          <w:p w:rsidR="00F8298B" w:rsidRDefault="00F8298B" w:rsidP="00F344DA">
            <w:pPr>
              <w:pStyle w:val="Listenabsatz"/>
              <w:numPr>
                <w:ilvl w:val="0"/>
                <w:numId w:val="6"/>
              </w:numPr>
              <w:ind w:left="356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Dați un exemplu </w:t>
            </w:r>
            <w:r w:rsidR="00F344DA">
              <w:rPr>
                <w:sz w:val="28"/>
                <w:szCs w:val="28"/>
                <w:lang w:val="ro-RO"/>
              </w:rPr>
              <w:t xml:space="preserve">practic pentru hermeneutica biblică </w:t>
            </w:r>
            <w:r w:rsidR="00CC5EE2">
              <w:rPr>
                <w:sz w:val="28"/>
                <w:szCs w:val="28"/>
                <w:lang w:val="ro-RO"/>
              </w:rPr>
              <w:t>aplicată</w:t>
            </w:r>
            <w:r w:rsidR="00F344DA">
              <w:rPr>
                <w:sz w:val="28"/>
                <w:szCs w:val="28"/>
                <w:lang w:val="ro-RO"/>
              </w:rPr>
              <w:t xml:space="preserve"> corect.</w:t>
            </w:r>
          </w:p>
          <w:p w:rsidR="00F344DA" w:rsidRDefault="00F344DA" w:rsidP="00F344DA">
            <w:pPr>
              <w:pStyle w:val="Listenabsatz"/>
              <w:numPr>
                <w:ilvl w:val="0"/>
                <w:numId w:val="6"/>
              </w:numPr>
              <w:ind w:left="356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Cit</w:t>
            </w:r>
            <w:r w:rsidR="0025131F">
              <w:rPr>
                <w:sz w:val="28"/>
                <w:szCs w:val="28"/>
                <w:lang w:val="ro-RO"/>
              </w:rPr>
              <w:t>ați versetul cheie al acestei că</w:t>
            </w:r>
            <w:r>
              <w:rPr>
                <w:sz w:val="28"/>
                <w:szCs w:val="28"/>
                <w:lang w:val="ro-RO"/>
              </w:rPr>
              <w:t>rți.</w:t>
            </w:r>
          </w:p>
          <w:p w:rsidR="00F344DA" w:rsidRDefault="00F344DA" w:rsidP="00F344DA">
            <w:pPr>
              <w:ind w:left="-4"/>
              <w:rPr>
                <w:sz w:val="28"/>
                <w:szCs w:val="28"/>
                <w:lang w:val="ro-RO"/>
              </w:rPr>
            </w:pPr>
          </w:p>
          <w:p w:rsidR="00F344DA" w:rsidRDefault="00F344DA" w:rsidP="00F344DA">
            <w:pPr>
              <w:ind w:left="-4"/>
              <w:rPr>
                <w:sz w:val="28"/>
                <w:szCs w:val="28"/>
                <w:lang w:val="ro-RO"/>
              </w:rPr>
            </w:pPr>
          </w:p>
          <w:p w:rsidR="00F344DA" w:rsidRDefault="00F344DA" w:rsidP="00F344DA">
            <w:pPr>
              <w:ind w:left="-4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Mulți sceptici sunt de părere că orice fel de doctrină poate fi predată bazându-se pe Biblie. Această afirmație poate fi adevărată doar când sunt ignorate principiile biblice ale hermeneuticii. Mai jos sunt enumerate principalele cauze pentru interpretarea greșită a Scripturii:</w:t>
            </w:r>
          </w:p>
          <w:p w:rsidR="00F344DA" w:rsidRDefault="00F344DA" w:rsidP="00F344DA">
            <w:pPr>
              <w:ind w:left="-4"/>
              <w:rPr>
                <w:sz w:val="28"/>
                <w:szCs w:val="28"/>
                <w:lang w:val="ro-RO"/>
              </w:rPr>
            </w:pPr>
          </w:p>
          <w:p w:rsidR="00F344DA" w:rsidRDefault="00FD179D" w:rsidP="0041663F">
            <w:pPr>
              <w:pStyle w:val="Listenabsatz"/>
              <w:numPr>
                <w:ilvl w:val="0"/>
                <w:numId w:val="7"/>
              </w:numPr>
              <w:spacing w:after="180"/>
              <w:ind w:left="714" w:hanging="357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Nerecunoașterea</w:t>
            </w:r>
            <w:r w:rsidR="00F344DA">
              <w:rPr>
                <w:sz w:val="28"/>
                <w:szCs w:val="28"/>
                <w:lang w:val="ro-RO"/>
              </w:rPr>
              <w:t xml:space="preserve"> </w:t>
            </w:r>
            <w:r w:rsidR="00FA0671">
              <w:rPr>
                <w:sz w:val="28"/>
                <w:szCs w:val="28"/>
                <w:lang w:val="ro-RO"/>
              </w:rPr>
              <w:t>golurilor</w:t>
            </w:r>
            <w:r w:rsidR="00333AEA">
              <w:rPr>
                <w:sz w:val="28"/>
                <w:szCs w:val="28"/>
                <w:lang w:val="ro-RO"/>
              </w:rPr>
              <w:t xml:space="preserve"> (dezacordurilor)</w:t>
            </w:r>
            <w:r w:rsidR="0041663F">
              <w:rPr>
                <w:sz w:val="28"/>
                <w:szCs w:val="28"/>
                <w:lang w:val="ro-RO"/>
              </w:rPr>
              <w:t xml:space="preserve"> de comunicare dintre cititorul modern și popoarele antice din Scriptură. </w:t>
            </w:r>
          </w:p>
          <w:p w:rsidR="00F8298B" w:rsidRPr="0041663F" w:rsidRDefault="0025131F" w:rsidP="0041663F">
            <w:pPr>
              <w:pStyle w:val="Listenabsatz"/>
              <w:numPr>
                <w:ilvl w:val="0"/>
                <w:numId w:val="7"/>
              </w:numPr>
              <w:spacing w:after="180"/>
              <w:ind w:left="714" w:hanging="357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Neputința de a face deosebire</w:t>
            </w:r>
            <w:r w:rsidR="00FD179D">
              <w:rPr>
                <w:sz w:val="28"/>
                <w:szCs w:val="28"/>
                <w:lang w:val="ro-RO"/>
              </w:rPr>
              <w:t xml:space="preserve"> între</w:t>
            </w:r>
            <w:r w:rsidR="0041663F">
              <w:rPr>
                <w:sz w:val="28"/>
                <w:szCs w:val="28"/>
                <w:lang w:val="ro-RO"/>
              </w:rPr>
              <w:t xml:space="preserve"> diferitele </w:t>
            </w:r>
            <w:r w:rsidR="00D9366D">
              <w:rPr>
                <w:sz w:val="28"/>
                <w:szCs w:val="28"/>
                <w:lang w:val="ro-RO"/>
              </w:rPr>
              <w:t>perioade de timp</w:t>
            </w:r>
            <w:r w:rsidR="0041663F">
              <w:rPr>
                <w:sz w:val="28"/>
                <w:szCs w:val="28"/>
                <w:lang w:val="ro-RO"/>
              </w:rPr>
              <w:t xml:space="preserve"> ale Bibliei.</w:t>
            </w:r>
          </w:p>
          <w:p w:rsidR="00F8298B" w:rsidRPr="00F8298B" w:rsidRDefault="00F8298B">
            <w:pPr>
              <w:rPr>
                <w:rFonts w:ascii="Arial" w:hAnsi="Arial" w:cs="Arial"/>
                <w:lang w:val="ro-RO"/>
              </w:rPr>
            </w:pPr>
          </w:p>
        </w:tc>
      </w:tr>
      <w:tr w:rsidR="003427AF" w:rsidRPr="0025131F" w:rsidTr="00083C85">
        <w:tc>
          <w:tcPr>
            <w:tcW w:w="7386" w:type="dxa"/>
            <w:gridSpan w:val="2"/>
          </w:tcPr>
          <w:p w:rsidR="003427AF" w:rsidRPr="00A20D0D" w:rsidRDefault="00427F9A">
            <w:pPr>
              <w:rPr>
                <w:lang w:val="es-ES"/>
              </w:rPr>
            </w:pPr>
            <w:r>
              <w:rPr>
                <w:noProof/>
                <w:lang w:val="de-AT" w:eastAsia="de-AT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-4445</wp:posOffset>
                  </wp:positionV>
                  <wp:extent cx="4591050" cy="6477000"/>
                  <wp:effectExtent l="19050" t="0" r="0" b="0"/>
                  <wp:wrapTight wrapText="bothSides">
                    <wp:wrapPolygon edited="0">
                      <wp:start x="-90" y="0"/>
                      <wp:lineTo x="-90" y="21536"/>
                      <wp:lineTo x="21600" y="21536"/>
                      <wp:lineTo x="21600" y="0"/>
                      <wp:lineTo x="-90" y="0"/>
                    </wp:wrapPolygon>
                  </wp:wrapTight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647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89" w:type="dxa"/>
          </w:tcPr>
          <w:p w:rsidR="0041663F" w:rsidRPr="00A20D0D" w:rsidRDefault="0041663F" w:rsidP="00576FAB">
            <w:pPr>
              <w:rPr>
                <w:sz w:val="28"/>
                <w:szCs w:val="28"/>
                <w:lang w:val="es-ES"/>
              </w:rPr>
            </w:pPr>
          </w:p>
          <w:p w:rsidR="0041663F" w:rsidRPr="00A20D0D" w:rsidRDefault="0041663F" w:rsidP="00576FAB">
            <w:pPr>
              <w:rPr>
                <w:sz w:val="28"/>
                <w:szCs w:val="28"/>
                <w:lang w:val="es-ES"/>
              </w:rPr>
            </w:pPr>
          </w:p>
          <w:p w:rsidR="0041663F" w:rsidRPr="00D9366D" w:rsidRDefault="00FD179D" w:rsidP="00D9366D">
            <w:pPr>
              <w:pStyle w:val="Listenabsatz"/>
              <w:numPr>
                <w:ilvl w:val="0"/>
                <w:numId w:val="8"/>
              </w:numPr>
              <w:spacing w:after="180"/>
              <w:ind w:left="714" w:hanging="357"/>
              <w:rPr>
                <w:rFonts w:ascii="Arial" w:hAnsi="Arial" w:cs="Arial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Nerecunoașterea diferitelor</w:t>
            </w:r>
            <w:r w:rsidR="00D9366D" w:rsidRPr="00D9366D">
              <w:rPr>
                <w:sz w:val="28"/>
                <w:szCs w:val="28"/>
                <w:lang w:val="es-ES"/>
              </w:rPr>
              <w:t xml:space="preserve"> legăminte. </w:t>
            </w:r>
          </w:p>
          <w:p w:rsidR="00D9366D" w:rsidRPr="00D9366D" w:rsidRDefault="0025131F" w:rsidP="00D9366D">
            <w:pPr>
              <w:pStyle w:val="Listenabsatz"/>
              <w:numPr>
                <w:ilvl w:val="0"/>
                <w:numId w:val="8"/>
              </w:numPr>
              <w:spacing w:after="180"/>
              <w:ind w:left="714" w:hanging="357"/>
              <w:rPr>
                <w:rFonts w:ascii="Arial" w:hAnsi="Arial" w:cs="Arial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Eșecul de a face deosebire între</w:t>
            </w:r>
            <w:r w:rsidR="00FD179D">
              <w:rPr>
                <w:sz w:val="28"/>
                <w:szCs w:val="28"/>
                <w:lang w:val="es-ES"/>
              </w:rPr>
              <w:t xml:space="preserve"> </w:t>
            </w:r>
            <w:r>
              <w:rPr>
                <w:sz w:val="28"/>
                <w:szCs w:val="28"/>
                <w:lang w:val="es-ES"/>
              </w:rPr>
              <w:t xml:space="preserve">cele </w:t>
            </w:r>
            <w:r w:rsidR="00D9366D">
              <w:rPr>
                <w:sz w:val="28"/>
                <w:szCs w:val="28"/>
                <w:lang w:val="es-ES"/>
              </w:rPr>
              <w:t>trei grupuri etnice cărora a fost adresată Scriptura.</w:t>
            </w:r>
          </w:p>
          <w:p w:rsidR="00D9366D" w:rsidRPr="000E158D" w:rsidRDefault="00FD179D" w:rsidP="00D9366D">
            <w:pPr>
              <w:pStyle w:val="Listenabsatz"/>
              <w:numPr>
                <w:ilvl w:val="0"/>
                <w:numId w:val="8"/>
              </w:numPr>
              <w:spacing w:after="180"/>
              <w:ind w:left="714" w:hanging="357"/>
              <w:rPr>
                <w:rFonts w:ascii="Arial" w:hAnsi="Arial" w:cs="Arial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Neluarea în considerare a</w:t>
            </w:r>
            <w:r w:rsidR="00D9366D">
              <w:rPr>
                <w:sz w:val="28"/>
                <w:szCs w:val="28"/>
                <w:lang w:val="es-ES"/>
              </w:rPr>
              <w:t xml:space="preserve"> </w:t>
            </w:r>
            <w:r w:rsidR="00392481">
              <w:rPr>
                <w:sz w:val="28"/>
                <w:szCs w:val="28"/>
                <w:lang w:val="es-ES"/>
              </w:rPr>
              <w:t>TOT</w:t>
            </w:r>
            <w:r w:rsidR="000E158D">
              <w:rPr>
                <w:sz w:val="28"/>
                <w:szCs w:val="28"/>
                <w:lang w:val="es-ES"/>
              </w:rPr>
              <w:t xml:space="preserve"> ce </w:t>
            </w:r>
            <w:r w:rsidR="00392481">
              <w:rPr>
                <w:sz w:val="28"/>
                <w:szCs w:val="28"/>
                <w:lang w:val="es-ES"/>
              </w:rPr>
              <w:t>întreaga Biblie</w:t>
            </w:r>
            <w:r w:rsidR="000E158D">
              <w:rPr>
                <w:sz w:val="28"/>
                <w:szCs w:val="28"/>
                <w:lang w:val="es-ES"/>
              </w:rPr>
              <w:t xml:space="preserve"> are de spus asupra unui subiect dat.</w:t>
            </w:r>
          </w:p>
          <w:p w:rsidR="000E158D" w:rsidRPr="000E158D" w:rsidRDefault="00FD179D" w:rsidP="00D9366D">
            <w:pPr>
              <w:pStyle w:val="Listenabsatz"/>
              <w:numPr>
                <w:ilvl w:val="0"/>
                <w:numId w:val="8"/>
              </w:numPr>
              <w:spacing w:after="180"/>
              <w:ind w:left="714" w:hanging="357"/>
              <w:rPr>
                <w:rFonts w:ascii="Arial" w:hAnsi="Arial" w:cs="Arial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Neluarea</w:t>
            </w:r>
            <w:r w:rsidR="000E158D">
              <w:rPr>
                <w:sz w:val="28"/>
                <w:szCs w:val="28"/>
                <w:lang w:val="es-ES"/>
              </w:rPr>
              <w:t xml:space="preserve"> </w:t>
            </w:r>
            <w:r>
              <w:rPr>
                <w:sz w:val="28"/>
                <w:szCs w:val="28"/>
                <w:lang w:val="es-ES"/>
              </w:rPr>
              <w:t>î</w:t>
            </w:r>
            <w:r w:rsidR="000E158D">
              <w:rPr>
                <w:sz w:val="28"/>
                <w:szCs w:val="28"/>
                <w:lang w:val="es-ES"/>
              </w:rPr>
              <w:t xml:space="preserve">n considerare </w:t>
            </w:r>
            <w:r>
              <w:rPr>
                <w:sz w:val="28"/>
                <w:szCs w:val="28"/>
                <w:lang w:val="es-ES"/>
              </w:rPr>
              <w:t xml:space="preserve">a </w:t>
            </w:r>
            <w:r w:rsidR="000E158D">
              <w:rPr>
                <w:sz w:val="28"/>
                <w:szCs w:val="28"/>
                <w:lang w:val="es-ES"/>
              </w:rPr>
              <w:t>contextul</w:t>
            </w:r>
            <w:r>
              <w:rPr>
                <w:sz w:val="28"/>
                <w:szCs w:val="28"/>
                <w:lang w:val="es-ES"/>
              </w:rPr>
              <w:t>ui</w:t>
            </w:r>
            <w:r w:rsidR="000E158D">
              <w:rPr>
                <w:sz w:val="28"/>
                <w:szCs w:val="28"/>
                <w:lang w:val="es-ES"/>
              </w:rPr>
              <w:t>.</w:t>
            </w:r>
          </w:p>
          <w:p w:rsidR="00392481" w:rsidRPr="00392481" w:rsidRDefault="00FD179D" w:rsidP="00392481">
            <w:pPr>
              <w:pStyle w:val="Listenabsatz"/>
              <w:numPr>
                <w:ilvl w:val="0"/>
                <w:numId w:val="8"/>
              </w:numPr>
              <w:spacing w:after="180"/>
              <w:ind w:left="714" w:hanging="357"/>
              <w:rPr>
                <w:rFonts w:ascii="Arial" w:hAnsi="Arial" w:cs="Arial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Neînțelegerea semnificației</w:t>
            </w:r>
            <w:r w:rsidR="000E158D">
              <w:rPr>
                <w:sz w:val="28"/>
                <w:szCs w:val="28"/>
                <w:lang w:val="es-ES"/>
              </w:rPr>
              <w:t xml:space="preserve"> golurilor profetice </w:t>
            </w:r>
            <w:r w:rsidR="00CC5EE2">
              <w:rPr>
                <w:sz w:val="28"/>
                <w:szCs w:val="28"/>
                <w:lang w:val="es-ES"/>
              </w:rPr>
              <w:t>î</w:t>
            </w:r>
            <w:r w:rsidR="000E158D">
              <w:rPr>
                <w:sz w:val="28"/>
                <w:szCs w:val="28"/>
                <w:lang w:val="es-ES"/>
              </w:rPr>
              <w:t xml:space="preserve">n mijlocul unui pasaj </w:t>
            </w:r>
            <w:r w:rsidR="000E158D" w:rsidRPr="00CC5EE2">
              <w:rPr>
                <w:sz w:val="26"/>
                <w:szCs w:val="26"/>
                <w:lang w:val="es-ES"/>
              </w:rPr>
              <w:t>(a uita că un singur verset poate cuprinde sute de ani, care</w:t>
            </w:r>
            <w:r w:rsidR="00392481" w:rsidRPr="00CC5EE2">
              <w:rPr>
                <w:sz w:val="26"/>
                <w:szCs w:val="26"/>
                <w:lang w:val="es-ES"/>
              </w:rPr>
              <w:t xml:space="preserve"> pot</w:t>
            </w:r>
            <w:r w:rsidR="000E158D" w:rsidRPr="00CC5EE2">
              <w:rPr>
                <w:sz w:val="26"/>
                <w:szCs w:val="26"/>
                <w:lang w:val="es-ES"/>
              </w:rPr>
              <w:t xml:space="preserve"> </w:t>
            </w:r>
            <w:r w:rsidRPr="00CC5EE2">
              <w:rPr>
                <w:sz w:val="26"/>
                <w:szCs w:val="26"/>
                <w:lang w:val="es-ES"/>
              </w:rPr>
              <w:t>face parte din</w:t>
            </w:r>
            <w:r w:rsidR="00392481" w:rsidRPr="00CC5EE2">
              <w:rPr>
                <w:sz w:val="26"/>
                <w:szCs w:val="26"/>
                <w:lang w:val="es-ES"/>
              </w:rPr>
              <w:t xml:space="preserve"> dispensații diferite)</w:t>
            </w:r>
            <w:r w:rsidR="00392481">
              <w:rPr>
                <w:sz w:val="28"/>
                <w:szCs w:val="28"/>
                <w:lang w:val="es-ES"/>
              </w:rPr>
              <w:t xml:space="preserve">. </w:t>
            </w:r>
          </w:p>
          <w:p w:rsidR="00392481" w:rsidRPr="00FD179D" w:rsidRDefault="00FD179D" w:rsidP="00392481">
            <w:pPr>
              <w:pStyle w:val="Listenabsatz"/>
              <w:numPr>
                <w:ilvl w:val="0"/>
                <w:numId w:val="8"/>
              </w:numPr>
              <w:spacing w:after="180"/>
              <w:ind w:left="714" w:hanging="357"/>
              <w:rPr>
                <w:rFonts w:ascii="Arial" w:hAnsi="Arial" w:cs="Arial"/>
                <w:lang w:val="en-US"/>
              </w:rPr>
            </w:pPr>
            <w:proofErr w:type="spellStart"/>
            <w:r w:rsidRPr="00FD179D">
              <w:rPr>
                <w:sz w:val="28"/>
                <w:szCs w:val="28"/>
                <w:lang w:val="en-US"/>
              </w:rPr>
              <w:t>Neînțelegerea</w:t>
            </w:r>
            <w:proofErr w:type="spellEnd"/>
            <w:r w:rsidRPr="00FD179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179D">
              <w:rPr>
                <w:sz w:val="28"/>
                <w:szCs w:val="28"/>
                <w:lang w:val="en-US"/>
              </w:rPr>
              <w:t>scopului</w:t>
            </w:r>
            <w:proofErr w:type="spellEnd"/>
            <w:r w:rsidRPr="00FD179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5131F">
              <w:rPr>
                <w:sz w:val="28"/>
                <w:szCs w:val="28"/>
                <w:lang w:val="en-US"/>
              </w:rPr>
              <w:t>pildelor</w:t>
            </w:r>
            <w:proofErr w:type="spellEnd"/>
            <w:r w:rsidR="00D46E8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6E8D">
              <w:rPr>
                <w:sz w:val="28"/>
                <w:szCs w:val="28"/>
                <w:lang w:val="en-US"/>
              </w:rPr>
              <w:t>menționate</w:t>
            </w:r>
            <w:proofErr w:type="spellEnd"/>
            <w:r w:rsidR="00D46E8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6E8D">
              <w:rPr>
                <w:sz w:val="28"/>
                <w:szCs w:val="28"/>
                <w:lang w:val="en-US"/>
              </w:rPr>
              <w:t>în</w:t>
            </w:r>
            <w:proofErr w:type="spellEnd"/>
            <w:r w:rsidR="00D46E8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6E8D">
              <w:rPr>
                <w:sz w:val="28"/>
                <w:szCs w:val="28"/>
                <w:lang w:val="en-US"/>
              </w:rPr>
              <w:t>Scriptură</w:t>
            </w:r>
            <w:proofErr w:type="spellEnd"/>
            <w:r w:rsidRPr="00FD179D">
              <w:rPr>
                <w:sz w:val="28"/>
                <w:szCs w:val="28"/>
                <w:lang w:val="en-US"/>
              </w:rPr>
              <w:t>.</w:t>
            </w:r>
          </w:p>
          <w:p w:rsidR="00FD179D" w:rsidRDefault="00FD179D" w:rsidP="00FD179D">
            <w:pPr>
              <w:spacing w:after="180"/>
              <w:rPr>
                <w:sz w:val="28"/>
                <w:szCs w:val="28"/>
                <w:lang w:val="en-US"/>
              </w:rPr>
            </w:pPr>
          </w:p>
          <w:p w:rsidR="00D46E8D" w:rsidRPr="00CC5EE2" w:rsidRDefault="00FD179D" w:rsidP="00FD179D">
            <w:pPr>
              <w:spacing w:after="180"/>
              <w:rPr>
                <w:sz w:val="28"/>
                <w:szCs w:val="28"/>
                <w:lang w:val="es-ES"/>
              </w:rPr>
            </w:pPr>
            <w:r w:rsidRPr="00CC5EE2">
              <w:rPr>
                <w:sz w:val="28"/>
                <w:szCs w:val="28"/>
                <w:lang w:val="es-ES"/>
              </w:rPr>
              <w:t>Și alte greșeli care pot contribui la interpretarea g</w:t>
            </w:r>
            <w:r w:rsidR="00D46E8D" w:rsidRPr="00CC5EE2">
              <w:rPr>
                <w:sz w:val="28"/>
                <w:szCs w:val="28"/>
                <w:lang w:val="es-ES"/>
              </w:rPr>
              <w:t>reșită a Bibliei vo</w:t>
            </w:r>
            <w:r w:rsidR="00CC5EE2" w:rsidRPr="00CC5EE2">
              <w:rPr>
                <w:sz w:val="28"/>
                <w:szCs w:val="28"/>
                <w:lang w:val="es-ES"/>
              </w:rPr>
              <w:t xml:space="preserve">r fi discutate </w:t>
            </w:r>
            <w:r w:rsidR="00F839A2">
              <w:rPr>
                <w:sz w:val="28"/>
                <w:szCs w:val="28"/>
                <w:lang w:val="es-ES"/>
              </w:rPr>
              <w:t>î</w:t>
            </w:r>
            <w:r w:rsidR="00CC5EE2" w:rsidRPr="00CC5EE2">
              <w:rPr>
                <w:sz w:val="28"/>
                <w:szCs w:val="28"/>
                <w:lang w:val="es-ES"/>
              </w:rPr>
              <w:t>n aceasă carte, dar cele enumerate mai sus sunt cele mai frecvente.</w:t>
            </w:r>
          </w:p>
          <w:p w:rsidR="00D46E8D" w:rsidRPr="00083C85" w:rsidRDefault="00D46E8D" w:rsidP="00083C85">
            <w:pPr>
              <w:spacing w:before="120" w:after="180"/>
              <w:jc w:val="center"/>
              <w:rPr>
                <w:shadow/>
                <w:sz w:val="32"/>
                <w:szCs w:val="28"/>
                <w:lang w:val="es-ES"/>
              </w:rPr>
            </w:pPr>
            <w:r w:rsidRPr="00083C85">
              <w:rPr>
                <w:shadow/>
                <w:sz w:val="32"/>
                <w:szCs w:val="28"/>
                <w:lang w:val="es-ES"/>
              </w:rPr>
              <w:t xml:space="preserve">Hermeneutica Biblică </w:t>
            </w:r>
            <w:r w:rsidR="00583138">
              <w:rPr>
                <w:shadow/>
                <w:sz w:val="32"/>
                <w:szCs w:val="28"/>
                <w:lang w:val="es-ES"/>
              </w:rPr>
              <w:t>aplicată</w:t>
            </w:r>
          </w:p>
          <w:p w:rsidR="00D46E8D" w:rsidRPr="00A20D0D" w:rsidRDefault="00D46E8D" w:rsidP="00FD179D">
            <w:pPr>
              <w:spacing w:after="180"/>
              <w:rPr>
                <w:sz w:val="28"/>
                <w:szCs w:val="28"/>
                <w:lang w:val="es-ES"/>
              </w:rPr>
            </w:pPr>
            <w:r w:rsidRPr="00A20D0D">
              <w:rPr>
                <w:sz w:val="28"/>
                <w:szCs w:val="28"/>
                <w:lang w:val="es-ES"/>
              </w:rPr>
              <w:t xml:space="preserve">Un exemplu pentru hermeneutica biblică aplicată </w:t>
            </w:r>
            <w:r w:rsidR="00CC5EE2">
              <w:rPr>
                <w:sz w:val="28"/>
                <w:szCs w:val="28"/>
                <w:lang w:val="es-ES"/>
              </w:rPr>
              <w:t xml:space="preserve">corect </w:t>
            </w:r>
            <w:r w:rsidRPr="00A20D0D">
              <w:rPr>
                <w:sz w:val="28"/>
                <w:szCs w:val="28"/>
                <w:lang w:val="es-ES"/>
              </w:rPr>
              <w:t xml:space="preserve">reiese din Neemia 8:8. După reîntoarcerea rămășiței </w:t>
            </w:r>
            <w:r w:rsidR="00CC5EE2">
              <w:rPr>
                <w:sz w:val="28"/>
                <w:szCs w:val="28"/>
                <w:lang w:val="es-ES"/>
              </w:rPr>
              <w:t>din poporul iudeu, Ezra a stat î</w:t>
            </w:r>
            <w:r w:rsidRPr="00A20D0D">
              <w:rPr>
                <w:sz w:val="28"/>
                <w:szCs w:val="28"/>
                <w:lang w:val="es-ES"/>
              </w:rPr>
              <w:t xml:space="preserve">n fața poporului pentru a citi cartea legii lui Moise. Cu el stăteau și mulți alți oameni. ”Ei citeau desluşit în cartea Legii lui Dumnezeu, şi-i arătau înţelesul, ca să-i facă să înţeleagă ce citiseră.” </w:t>
            </w:r>
          </w:p>
          <w:p w:rsidR="00FD179D" w:rsidRPr="00D46E8D" w:rsidRDefault="00D46E8D" w:rsidP="003D3182">
            <w:pPr>
              <w:spacing w:after="180"/>
              <w:rPr>
                <w:rFonts w:ascii="Arial" w:hAnsi="Arial" w:cs="Arial"/>
                <w:lang w:val="es-ES"/>
              </w:rPr>
            </w:pPr>
            <w:r w:rsidRPr="00D46E8D">
              <w:rPr>
                <w:sz w:val="28"/>
                <w:szCs w:val="28"/>
                <w:lang w:val="es-ES"/>
              </w:rPr>
              <w:t>Primul lucru pe c</w:t>
            </w:r>
            <w:r w:rsidR="00B67C81">
              <w:rPr>
                <w:sz w:val="28"/>
                <w:szCs w:val="28"/>
                <w:lang w:val="es-ES"/>
              </w:rPr>
              <w:t>are-l putem observa aici este că</w:t>
            </w:r>
            <w:r w:rsidRPr="00D46E8D">
              <w:rPr>
                <w:sz w:val="28"/>
                <w:szCs w:val="28"/>
                <w:lang w:val="es-ES"/>
              </w:rPr>
              <w:t xml:space="preserve"> citirea era deslușită. </w:t>
            </w:r>
            <w:r>
              <w:rPr>
                <w:sz w:val="28"/>
                <w:szCs w:val="28"/>
                <w:lang w:val="es-ES"/>
              </w:rPr>
              <w:t xml:space="preserve">Deoarece cuvintele Bibliei nu sunt cuvinte obișnuite, ci </w:t>
            </w:r>
            <w:r w:rsidR="00B67C81">
              <w:rPr>
                <w:sz w:val="28"/>
                <w:szCs w:val="28"/>
                <w:lang w:val="es-ES"/>
              </w:rPr>
              <w:t xml:space="preserve">cuvintele adevărate ale lui Dumnezeu, ele trebuie să fie citite cu grijă, într-un mod </w:t>
            </w:r>
            <w:r w:rsidR="00991669">
              <w:rPr>
                <w:sz w:val="28"/>
                <w:szCs w:val="28"/>
                <w:lang w:val="es-ES"/>
              </w:rPr>
              <w:t>conștiincios, clar și deslușit. Scriptura niciodată n-ar trebui să fie citită în grabă. ”</w:t>
            </w:r>
            <w:r w:rsidR="00991669" w:rsidRPr="00991669">
              <w:rPr>
                <w:lang w:val="es-ES"/>
              </w:rPr>
              <w:t xml:space="preserve"> </w:t>
            </w:r>
            <w:r w:rsidR="00991669" w:rsidRPr="00991669">
              <w:rPr>
                <w:sz w:val="28"/>
                <w:szCs w:val="28"/>
                <w:lang w:val="es-ES"/>
              </w:rPr>
              <w:t>Toată Scriptura este însuflată de Dumnezeu şi de folos</w:t>
            </w:r>
            <w:r w:rsidR="00083C85">
              <w:rPr>
                <w:sz w:val="28"/>
                <w:szCs w:val="28"/>
                <w:lang w:val="es-ES"/>
              </w:rPr>
              <w:t xml:space="preserve"> </w:t>
            </w:r>
            <w:r w:rsidR="00083C85" w:rsidRPr="00083C85">
              <w:rPr>
                <w:sz w:val="28"/>
                <w:szCs w:val="28"/>
                <w:lang w:val="es-ES"/>
              </w:rPr>
              <w:t>ca să</w:t>
            </w:r>
          </w:p>
        </w:tc>
      </w:tr>
      <w:tr w:rsidR="003427AF" w:rsidRPr="0025131F" w:rsidTr="00083C85">
        <w:tc>
          <w:tcPr>
            <w:tcW w:w="7386" w:type="dxa"/>
            <w:gridSpan w:val="2"/>
          </w:tcPr>
          <w:p w:rsidR="003427AF" w:rsidRPr="00083C85" w:rsidRDefault="00427F9A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de-AT" w:eastAsia="de-AT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-4445</wp:posOffset>
                  </wp:positionV>
                  <wp:extent cx="4533900" cy="6334125"/>
                  <wp:effectExtent l="19050" t="0" r="0" b="0"/>
                  <wp:wrapTight wrapText="bothSides">
                    <wp:wrapPolygon edited="0">
                      <wp:start x="-91" y="0"/>
                      <wp:lineTo x="-91" y="21568"/>
                      <wp:lineTo x="21600" y="21568"/>
                      <wp:lineTo x="21600" y="0"/>
                      <wp:lineTo x="-91" y="0"/>
                    </wp:wrapPolygon>
                  </wp:wrapTight>
                  <wp:docPr id="1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0" cy="633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89" w:type="dxa"/>
          </w:tcPr>
          <w:p w:rsidR="00054ACC" w:rsidRPr="003D3182" w:rsidRDefault="00054ACC" w:rsidP="003D3182">
            <w:pPr>
              <w:rPr>
                <w:sz w:val="28"/>
                <w:szCs w:val="28"/>
                <w:lang w:val="es-ES"/>
              </w:rPr>
            </w:pPr>
          </w:p>
          <w:p w:rsidR="00083C85" w:rsidRDefault="003D3182" w:rsidP="003D3182">
            <w:pPr>
              <w:rPr>
                <w:sz w:val="28"/>
                <w:szCs w:val="28"/>
                <w:lang w:val="es-ES"/>
              </w:rPr>
            </w:pPr>
            <w:r w:rsidRPr="003D3182">
              <w:rPr>
                <w:sz w:val="28"/>
                <w:szCs w:val="28"/>
                <w:lang w:val="es-ES"/>
              </w:rPr>
              <w:t>înveţe, să mustre, să îndrepte, să dea înţelepciune în neprihănire</w:t>
            </w:r>
            <w:r>
              <w:rPr>
                <w:sz w:val="28"/>
                <w:szCs w:val="28"/>
                <w:lang w:val="es-ES"/>
              </w:rPr>
              <w:t>” (2 Timotei 3:16). Al doile</w:t>
            </w:r>
            <w:r w:rsidR="00CC5EE2">
              <w:rPr>
                <w:sz w:val="28"/>
                <w:szCs w:val="28"/>
                <w:lang w:val="es-ES"/>
              </w:rPr>
              <w:t>a lucru care poate fi observat î</w:t>
            </w:r>
            <w:r>
              <w:rPr>
                <w:sz w:val="28"/>
                <w:szCs w:val="28"/>
                <w:lang w:val="es-ES"/>
              </w:rPr>
              <w:t xml:space="preserve">n </w:t>
            </w:r>
            <w:r w:rsidR="00CC5EE2">
              <w:rPr>
                <w:sz w:val="28"/>
                <w:szCs w:val="28"/>
                <w:lang w:val="es-ES"/>
              </w:rPr>
              <w:t>versetul</w:t>
            </w:r>
            <w:r>
              <w:rPr>
                <w:sz w:val="28"/>
                <w:szCs w:val="28"/>
                <w:lang w:val="es-ES"/>
              </w:rPr>
              <w:t xml:space="preserve"> din Neemia este că ei ”arătau înțelesul”. Aceasta se poate referi la traducerea cuvintelor din ebraică în limba </w:t>
            </w:r>
            <w:r w:rsidR="00083C85">
              <w:rPr>
                <w:sz w:val="28"/>
                <w:szCs w:val="28"/>
                <w:lang w:val="es-ES"/>
              </w:rPr>
              <w:t xml:space="preserve">oamenilor de atunci, aramaică sau haldee. Al treilea lucru important este că ei ”îi faceau (pe ascultători) să înțeleagă ce citiseră”. Cu alte cuvinte ei explicau norodului însemnătatea Scripturii. </w:t>
            </w:r>
          </w:p>
          <w:p w:rsidR="00083C85" w:rsidRDefault="00083C85" w:rsidP="003D3182">
            <w:pPr>
              <w:rPr>
                <w:sz w:val="28"/>
                <w:szCs w:val="28"/>
                <w:lang w:val="es-ES"/>
              </w:rPr>
            </w:pPr>
          </w:p>
          <w:p w:rsidR="00083C85" w:rsidRPr="00083C85" w:rsidRDefault="00083C85" w:rsidP="00083C85">
            <w:pPr>
              <w:spacing w:before="120"/>
              <w:jc w:val="center"/>
              <w:rPr>
                <w:shadow/>
                <w:sz w:val="32"/>
                <w:szCs w:val="28"/>
                <w:lang w:val="es-ES"/>
              </w:rPr>
            </w:pPr>
            <w:r w:rsidRPr="00083C85">
              <w:rPr>
                <w:shadow/>
                <w:sz w:val="32"/>
                <w:szCs w:val="28"/>
                <w:lang w:val="es-ES"/>
              </w:rPr>
              <w:t>Verset cheie</w:t>
            </w:r>
          </w:p>
          <w:p w:rsidR="00083C85" w:rsidRDefault="00083C85" w:rsidP="003D3182">
            <w:pPr>
              <w:rPr>
                <w:sz w:val="28"/>
                <w:szCs w:val="28"/>
                <w:lang w:val="es-ES"/>
              </w:rPr>
            </w:pPr>
          </w:p>
          <w:p w:rsidR="003D3182" w:rsidRDefault="00083C85" w:rsidP="003D3182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 Versetul cheie al acestei cărți este 2 Timotei 2:15:</w:t>
            </w:r>
          </w:p>
          <w:p w:rsidR="00083C85" w:rsidRDefault="00952BA7" w:rsidP="003D3182">
            <w:pPr>
              <w:rPr>
                <w:sz w:val="28"/>
                <w:szCs w:val="28"/>
                <w:lang w:val="es-ES"/>
              </w:rPr>
            </w:pPr>
            <w:r w:rsidRPr="00952BA7">
              <w:rPr>
                <w:sz w:val="28"/>
                <w:szCs w:val="28"/>
                <w:lang w:val="es-ES"/>
              </w:rPr>
              <w:t>”Caută să te înfăţişezi înaintea lui Dumnezeu ca un om încercat, ca un lucrător care n'are de ce să-i fie ruşine, şi care împarte drept Cuvîntul adevărului.”</w:t>
            </w:r>
          </w:p>
          <w:p w:rsidR="00952BA7" w:rsidRDefault="00952BA7" w:rsidP="00952BA7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Când vine vorba de ”împărțirea dreaptă” (interpretarea corectă) a Cuvântului adevărului, trebuie sa fim preocupați mai mult de incuviințarea lui Dumnezeu, nu de cea a oamenilor. Pentru a obține încuviințarea lui Dumnezeu este nevoie de sârguință și efort (studiu).  A fi un ”lucrător” înseamna a mânui bine Scripturile, deci implică pricepere. </w:t>
            </w:r>
          </w:p>
          <w:p w:rsidR="00952BA7" w:rsidRDefault="00952BA7" w:rsidP="00952BA7">
            <w:pPr>
              <w:rPr>
                <w:sz w:val="28"/>
                <w:szCs w:val="28"/>
                <w:lang w:val="es-ES"/>
              </w:rPr>
            </w:pPr>
          </w:p>
          <w:p w:rsidR="00952BA7" w:rsidRPr="00952BA7" w:rsidRDefault="00952BA7" w:rsidP="00952BA7">
            <w:pPr>
              <w:rPr>
                <w:shadow/>
                <w:sz w:val="32"/>
                <w:szCs w:val="28"/>
                <w:lang w:val="es-ES"/>
              </w:rPr>
            </w:pPr>
            <w:r w:rsidRPr="00952BA7">
              <w:rPr>
                <w:shadow/>
                <w:sz w:val="32"/>
                <w:szCs w:val="28"/>
                <w:lang w:val="es-ES"/>
              </w:rPr>
              <w:t>Evaluarea progresului</w:t>
            </w:r>
          </w:p>
          <w:p w:rsidR="00952BA7" w:rsidRDefault="00952BA7" w:rsidP="00952BA7">
            <w:pPr>
              <w:rPr>
                <w:rFonts w:ascii="Arial" w:hAnsi="Arial" w:cs="Arial"/>
                <w:lang w:val="es-ES"/>
              </w:rPr>
            </w:pPr>
          </w:p>
          <w:p w:rsidR="00583138" w:rsidRPr="00583138" w:rsidRDefault="00583138" w:rsidP="00583138">
            <w:pPr>
              <w:rPr>
                <w:sz w:val="28"/>
                <w:szCs w:val="28"/>
                <w:lang w:val="es-ES"/>
              </w:rPr>
            </w:pPr>
            <w:r w:rsidRPr="00583138">
              <w:rPr>
                <w:i/>
                <w:sz w:val="28"/>
                <w:szCs w:val="28"/>
                <w:lang w:val="es-ES"/>
              </w:rPr>
              <w:t>Instrucțiuni:</w:t>
            </w:r>
            <w:r w:rsidRPr="00583138">
              <w:rPr>
                <w:sz w:val="28"/>
                <w:szCs w:val="28"/>
                <w:lang w:val="es-ES"/>
              </w:rPr>
              <w:t xml:space="preserve"> Completați eval</w:t>
            </w:r>
            <w:r w:rsidR="00E43DEC">
              <w:rPr>
                <w:sz w:val="28"/>
                <w:szCs w:val="28"/>
                <w:lang w:val="es-ES"/>
              </w:rPr>
              <w:t>uarea progresului de mai jos fără</w:t>
            </w:r>
            <w:r w:rsidRPr="00583138">
              <w:rPr>
                <w:sz w:val="28"/>
                <w:szCs w:val="28"/>
                <w:lang w:val="es-ES"/>
              </w:rPr>
              <w:t xml:space="preserve"> a vă uita la capitolul parcurs. Verificați apoi răspunsul. </w:t>
            </w:r>
          </w:p>
          <w:p w:rsidR="00583138" w:rsidRPr="00583138" w:rsidRDefault="00583138" w:rsidP="00583138">
            <w:pPr>
              <w:rPr>
                <w:sz w:val="28"/>
                <w:szCs w:val="28"/>
                <w:lang w:val="es-ES"/>
              </w:rPr>
            </w:pPr>
          </w:p>
          <w:p w:rsidR="00583138" w:rsidRPr="00583138" w:rsidRDefault="00583138" w:rsidP="00583138">
            <w:pPr>
              <w:rPr>
                <w:i/>
                <w:sz w:val="28"/>
                <w:szCs w:val="28"/>
                <w:lang w:val="es-ES"/>
              </w:rPr>
            </w:pPr>
            <w:r w:rsidRPr="00583138">
              <w:rPr>
                <w:i/>
                <w:sz w:val="28"/>
                <w:szCs w:val="28"/>
                <w:lang w:val="es-ES"/>
              </w:rPr>
              <w:t>Teme pentru evaluarea personală:</w:t>
            </w:r>
          </w:p>
          <w:p w:rsidR="00583138" w:rsidRPr="00583138" w:rsidRDefault="00583138" w:rsidP="00583138">
            <w:pPr>
              <w:rPr>
                <w:sz w:val="28"/>
                <w:szCs w:val="28"/>
                <w:lang w:val="es-ES"/>
              </w:rPr>
            </w:pPr>
          </w:p>
          <w:p w:rsidR="00952BA7" w:rsidRDefault="00583138" w:rsidP="00583138">
            <w:pPr>
              <w:pStyle w:val="Listenabsatz"/>
              <w:numPr>
                <w:ilvl w:val="0"/>
                <w:numId w:val="9"/>
              </w:numPr>
              <w:ind w:left="635" w:hanging="434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Enumerați cele opt cauze majore pentru interpretarea greșită a Scripturii.</w:t>
            </w:r>
          </w:p>
          <w:p w:rsidR="00583138" w:rsidRPr="00583138" w:rsidRDefault="00583138" w:rsidP="00583138">
            <w:pPr>
              <w:pStyle w:val="Listenabsatz"/>
              <w:numPr>
                <w:ilvl w:val="0"/>
                <w:numId w:val="9"/>
              </w:numPr>
              <w:ind w:left="635" w:hanging="434"/>
              <w:rPr>
                <w:rFonts w:ascii="Arial" w:hAnsi="Arial" w:cs="Arial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Dați un exemplu de hermeneutică biblică aplicată</w:t>
            </w:r>
            <w:r w:rsidR="00CC5EE2">
              <w:rPr>
                <w:sz w:val="28"/>
                <w:szCs w:val="28"/>
                <w:lang w:val="es-ES"/>
              </w:rPr>
              <w:t xml:space="preserve"> corect</w:t>
            </w:r>
            <w:r>
              <w:rPr>
                <w:sz w:val="28"/>
                <w:szCs w:val="28"/>
                <w:lang w:val="es-ES"/>
              </w:rPr>
              <w:t>.</w:t>
            </w:r>
          </w:p>
          <w:p w:rsidR="00583138" w:rsidRPr="00583138" w:rsidRDefault="00583138" w:rsidP="00583138">
            <w:pPr>
              <w:rPr>
                <w:rFonts w:ascii="Arial" w:hAnsi="Arial" w:cs="Arial"/>
                <w:lang w:val="es-ES"/>
              </w:rPr>
            </w:pPr>
          </w:p>
        </w:tc>
      </w:tr>
      <w:tr w:rsidR="003427AF" w:rsidRPr="00952BA7" w:rsidTr="00083C85">
        <w:tc>
          <w:tcPr>
            <w:tcW w:w="7338" w:type="dxa"/>
          </w:tcPr>
          <w:p w:rsidR="003427AF" w:rsidRPr="00952BA7" w:rsidRDefault="00427F9A">
            <w:pPr>
              <w:rPr>
                <w:lang w:val="es-ES"/>
              </w:rPr>
            </w:pPr>
            <w:r>
              <w:rPr>
                <w:noProof/>
                <w:lang w:val="de-AT" w:eastAsia="de-AT"/>
              </w:rPr>
              <w:lastRenderedPageBreak/>
              <w:drawing>
                <wp:inline distT="0" distB="0" distL="0" distR="0">
                  <wp:extent cx="3409950" cy="2762250"/>
                  <wp:effectExtent l="1905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7" w:type="dxa"/>
            <w:gridSpan w:val="2"/>
          </w:tcPr>
          <w:p w:rsidR="00583138" w:rsidRPr="00583138" w:rsidRDefault="00583138" w:rsidP="00583138">
            <w:pPr>
              <w:rPr>
                <w:lang w:val="es-ES"/>
              </w:rPr>
            </w:pPr>
          </w:p>
          <w:p w:rsidR="003427AF" w:rsidRPr="00583138" w:rsidRDefault="00583138" w:rsidP="00583138">
            <w:pPr>
              <w:pStyle w:val="Listenabsatz"/>
              <w:numPr>
                <w:ilvl w:val="0"/>
                <w:numId w:val="9"/>
              </w:numPr>
              <w:ind w:left="742" w:hanging="567"/>
              <w:rPr>
                <w:lang w:val="es-ES"/>
              </w:rPr>
            </w:pPr>
            <w:r w:rsidRPr="00583138">
              <w:rPr>
                <w:sz w:val="28"/>
                <w:szCs w:val="28"/>
                <w:lang w:val="es-ES"/>
              </w:rPr>
              <w:t>Scrieți din memorie versetul cheie al acestei cărți.</w:t>
            </w:r>
          </w:p>
          <w:p w:rsidR="00583138" w:rsidRDefault="00583138" w:rsidP="00583138">
            <w:pPr>
              <w:rPr>
                <w:lang w:val="es-ES"/>
              </w:rPr>
            </w:pPr>
          </w:p>
          <w:p w:rsidR="00583138" w:rsidRPr="00583138" w:rsidRDefault="00583138" w:rsidP="00583138">
            <w:pPr>
              <w:rPr>
                <w:lang w:val="es-ES"/>
              </w:rPr>
            </w:pPr>
          </w:p>
        </w:tc>
      </w:tr>
    </w:tbl>
    <w:p w:rsidR="003427AF" w:rsidRPr="00952BA7" w:rsidRDefault="003427AF">
      <w:pPr>
        <w:rPr>
          <w:lang w:val="es-ES"/>
        </w:rPr>
      </w:pPr>
    </w:p>
    <w:sectPr w:rsidR="003427AF" w:rsidRPr="00952BA7" w:rsidSect="00DD3E1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2EA2"/>
    <w:multiLevelType w:val="hybridMultilevel"/>
    <w:tmpl w:val="7AFEFDAA"/>
    <w:lvl w:ilvl="0" w:tplc="7BD2B5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170AE8"/>
    <w:multiLevelType w:val="hybridMultilevel"/>
    <w:tmpl w:val="3858D3C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2243C"/>
    <w:multiLevelType w:val="hybridMultilevel"/>
    <w:tmpl w:val="A2CA90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747C5"/>
    <w:multiLevelType w:val="hybridMultilevel"/>
    <w:tmpl w:val="A31E2FB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F6DDC"/>
    <w:multiLevelType w:val="hybridMultilevel"/>
    <w:tmpl w:val="D1680C88"/>
    <w:lvl w:ilvl="0" w:tplc="0C07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5">
    <w:nsid w:val="5EE9499F"/>
    <w:multiLevelType w:val="hybridMultilevel"/>
    <w:tmpl w:val="484872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E1A10"/>
    <w:multiLevelType w:val="hybridMultilevel"/>
    <w:tmpl w:val="751651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905F0"/>
    <w:multiLevelType w:val="hybridMultilevel"/>
    <w:tmpl w:val="840E6B4C"/>
    <w:lvl w:ilvl="0" w:tplc="D974EDD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47634"/>
    <w:multiLevelType w:val="hybridMultilevel"/>
    <w:tmpl w:val="43BE4C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D11"/>
    <w:rsid w:val="00054ACC"/>
    <w:rsid w:val="00083C85"/>
    <w:rsid w:val="000E158D"/>
    <w:rsid w:val="000E4688"/>
    <w:rsid w:val="0015672A"/>
    <w:rsid w:val="00161609"/>
    <w:rsid w:val="001660B6"/>
    <w:rsid w:val="001E52E7"/>
    <w:rsid w:val="0025131F"/>
    <w:rsid w:val="003261BF"/>
    <w:rsid w:val="00333AEA"/>
    <w:rsid w:val="003427AF"/>
    <w:rsid w:val="00342C3B"/>
    <w:rsid w:val="00392481"/>
    <w:rsid w:val="003D3182"/>
    <w:rsid w:val="0041663F"/>
    <w:rsid w:val="00427F9A"/>
    <w:rsid w:val="00496EDE"/>
    <w:rsid w:val="004D6AD8"/>
    <w:rsid w:val="00506231"/>
    <w:rsid w:val="00540786"/>
    <w:rsid w:val="00576FAB"/>
    <w:rsid w:val="00583138"/>
    <w:rsid w:val="00630F07"/>
    <w:rsid w:val="00780546"/>
    <w:rsid w:val="007F3D65"/>
    <w:rsid w:val="0091171C"/>
    <w:rsid w:val="0094371D"/>
    <w:rsid w:val="00952BA7"/>
    <w:rsid w:val="00956E8B"/>
    <w:rsid w:val="00971074"/>
    <w:rsid w:val="00973A56"/>
    <w:rsid w:val="00991669"/>
    <w:rsid w:val="00A20D0D"/>
    <w:rsid w:val="00A22AF5"/>
    <w:rsid w:val="00AF63BA"/>
    <w:rsid w:val="00B67C81"/>
    <w:rsid w:val="00B754D3"/>
    <w:rsid w:val="00BE51FE"/>
    <w:rsid w:val="00C40522"/>
    <w:rsid w:val="00C907E4"/>
    <w:rsid w:val="00CC5EE2"/>
    <w:rsid w:val="00D1757C"/>
    <w:rsid w:val="00D27D11"/>
    <w:rsid w:val="00D46E8D"/>
    <w:rsid w:val="00D9366D"/>
    <w:rsid w:val="00DD3E1A"/>
    <w:rsid w:val="00E43DEC"/>
    <w:rsid w:val="00EB4CF6"/>
    <w:rsid w:val="00F344DA"/>
    <w:rsid w:val="00F66D8F"/>
    <w:rsid w:val="00F8298B"/>
    <w:rsid w:val="00F839A2"/>
    <w:rsid w:val="00FA0671"/>
    <w:rsid w:val="00FB2544"/>
    <w:rsid w:val="00FC4E75"/>
    <w:rsid w:val="00FD179D"/>
    <w:rsid w:val="00FF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E1A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D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27D11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91171C"/>
    <w:pPr>
      <w:ind w:left="708"/>
    </w:pPr>
  </w:style>
  <w:style w:type="character" w:styleId="Hyperlink">
    <w:name w:val="Hyperlink"/>
    <w:basedOn w:val="Absatz-Standardschriftart"/>
    <w:uiPriority w:val="99"/>
    <w:semiHidden/>
    <w:unhideWhenUsed/>
    <w:rsid w:val="00FB2544"/>
    <w:rPr>
      <w:strike w:val="0"/>
      <w:dstrike w:val="0"/>
      <w:color w:val="213AC7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9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Kirchdorfer Industries GmbH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borensky</dc:creator>
  <cp:lastModifiedBy>Sandra</cp:lastModifiedBy>
  <cp:revision>12</cp:revision>
  <dcterms:created xsi:type="dcterms:W3CDTF">2012-06-24T19:42:00Z</dcterms:created>
  <dcterms:modified xsi:type="dcterms:W3CDTF">2012-11-01T09:06:00Z</dcterms:modified>
</cp:coreProperties>
</file>